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44" w:rsidRDefault="000A7D5D" w:rsidP="00EE602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A7D5D">
        <w:rPr>
          <w:rFonts w:ascii="Times New Roman" w:hAnsi="Times New Roman" w:cs="Times New Roman"/>
          <w:sz w:val="30"/>
          <w:szCs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in;height:67pt" adj=",10800">
            <v:shadow on="t" opacity="52429f"/>
            <v:textpath style="font-family:&quot;Arial Black&quot;;font-style:italic;v-text-kern:t" trim="t" fitpath="t" string="Результаты проверки хода подготовки теплоисточников &#10;к работе в ОЗП 2025"/>
          </v:shape>
        </w:pict>
      </w:r>
    </w:p>
    <w:p w:rsidR="00C108D5" w:rsidRDefault="00C108D5" w:rsidP="00C108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0"/>
          <w:szCs w:val="30"/>
        </w:rPr>
      </w:pPr>
    </w:p>
    <w:p w:rsidR="007E50F3" w:rsidRDefault="007E50F3" w:rsidP="00C10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50F3" w:rsidRPr="00786F06" w:rsidRDefault="007E50F3" w:rsidP="00C10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786F06">
        <w:rPr>
          <w:rFonts w:ascii="Times New Roman" w:hAnsi="Times New Roman" w:cs="Times New Roman"/>
          <w:sz w:val="29"/>
          <w:szCs w:val="29"/>
        </w:rPr>
        <w:t>Подготовка источников теплоснабжения к работе в отопительный период – одно из самых важных мероприятий для обеспечения комфортных условий жизни населения.</w:t>
      </w:r>
    </w:p>
    <w:p w:rsidR="007E50F3" w:rsidRPr="00786F06" w:rsidRDefault="007E50F3" w:rsidP="007E5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786F06">
        <w:rPr>
          <w:rFonts w:ascii="Times New Roman" w:hAnsi="Times New Roman" w:cs="Times New Roman"/>
          <w:sz w:val="29"/>
          <w:szCs w:val="29"/>
        </w:rPr>
        <w:t>Приоритетными направлениями при планировании надзорных мероприятий являлись обследование котельных, снабжающих тепловой энергией объекты жилищного фонда, объекты социального и культурно-бытового назначения.</w:t>
      </w:r>
    </w:p>
    <w:p w:rsidR="007E50F3" w:rsidRPr="00786F06" w:rsidRDefault="007E50F3" w:rsidP="007E5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786F06">
        <w:rPr>
          <w:rFonts w:ascii="Times New Roman" w:hAnsi="Times New Roman" w:cs="Times New Roman"/>
          <w:sz w:val="29"/>
          <w:szCs w:val="29"/>
        </w:rPr>
        <w:t xml:space="preserve">В результате проведенных мероприятий было установлено, что большинство теплоисточников успешно завершили подготовку к работе в отопительный сезон. Были проведены обследования технического состояния оборудования, обучение и подготовка персонала и т.д. </w:t>
      </w:r>
    </w:p>
    <w:p w:rsidR="00663793" w:rsidRPr="00786F06" w:rsidRDefault="004111E2" w:rsidP="00C10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786F06">
        <w:rPr>
          <w:rFonts w:ascii="Times New Roman" w:hAnsi="Times New Roman"/>
          <w:sz w:val="29"/>
          <w:szCs w:val="29"/>
        </w:rPr>
        <w:t>При проведении данных мероприятий проводилась также разъяснительная работа с обслуживающим персоналом котельн</w:t>
      </w:r>
      <w:r w:rsidR="002F7829" w:rsidRPr="00786F06">
        <w:rPr>
          <w:rFonts w:ascii="Times New Roman" w:hAnsi="Times New Roman"/>
          <w:sz w:val="29"/>
          <w:szCs w:val="29"/>
        </w:rPr>
        <w:t>ых</w:t>
      </w:r>
      <w:r w:rsidRPr="00786F06">
        <w:rPr>
          <w:rFonts w:ascii="Times New Roman" w:hAnsi="Times New Roman"/>
          <w:sz w:val="29"/>
          <w:szCs w:val="29"/>
        </w:rPr>
        <w:t xml:space="preserve"> и специалистами организаций </w:t>
      </w:r>
      <w:r w:rsidR="002F7829" w:rsidRPr="00786F06">
        <w:rPr>
          <w:rFonts w:ascii="Times New Roman" w:hAnsi="Times New Roman"/>
          <w:sz w:val="29"/>
          <w:szCs w:val="29"/>
        </w:rPr>
        <w:t xml:space="preserve">о </w:t>
      </w:r>
      <w:r w:rsidRPr="00786F06">
        <w:rPr>
          <w:rFonts w:ascii="Times New Roman" w:hAnsi="Times New Roman"/>
          <w:sz w:val="29"/>
          <w:szCs w:val="29"/>
        </w:rPr>
        <w:t>требованиях законодательства и применения его положений на практике,  оценка готовности предприяти</w:t>
      </w:r>
      <w:r w:rsidR="002F7829" w:rsidRPr="00786F06">
        <w:rPr>
          <w:rFonts w:ascii="Times New Roman" w:hAnsi="Times New Roman"/>
          <w:sz w:val="29"/>
          <w:szCs w:val="29"/>
        </w:rPr>
        <w:t>й</w:t>
      </w:r>
      <w:r w:rsidRPr="00786F06">
        <w:rPr>
          <w:rFonts w:ascii="Times New Roman" w:hAnsi="Times New Roman"/>
          <w:sz w:val="29"/>
          <w:szCs w:val="29"/>
        </w:rPr>
        <w:t xml:space="preserve"> к локализации и ликвидации последствий возможных аварий на потенциально опасных объектах.</w:t>
      </w:r>
    </w:p>
    <w:p w:rsidR="00C108D5" w:rsidRDefault="000A7D5D" w:rsidP="00C108D5">
      <w:pPr>
        <w:suppressLineNumbers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A7D5D">
        <w:rPr>
          <w:rFonts w:ascii="Times New Roman" w:hAnsi="Times New Roman" w:cs="Times New Roman"/>
          <w:sz w:val="30"/>
          <w:szCs w:val="30"/>
        </w:rPr>
        <w:pict>
          <v:shape id="_x0000_i1026" type="#_x0000_t136" style="width:497.75pt;height:32.55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Выявленные характерные нарушения: "/>
          </v:shape>
        </w:pict>
      </w:r>
    </w:p>
    <w:p w:rsidR="00C108D5" w:rsidRDefault="000A7D5D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331.65pt;margin-top:9.45pt;width:38.8pt;height:55.7pt;z-index:251661312" fillcolor="#c0504d [3205]" strokecolor="#f2f2f2 [3041]" strokeweight="3pt">
            <v:shadow on="t" type="perspective" color="#622423 [1605]" opacity=".5" offset="1pt" offset2="-1pt"/>
            <v:textbox style="layout-flow:vertical-ideographic">
              <w:txbxContent>
                <w:p w:rsidR="007E50F3" w:rsidRDefault="007E50F3"/>
              </w:txbxContent>
            </v:textbox>
          </v:shape>
        </w:pict>
      </w:r>
      <w:r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shape id="_x0000_s1033" type="#_x0000_t67" style="position:absolute;left:0;text-align:left;margin-left:436.1pt;margin-top:9.45pt;width:38.8pt;height:55.7pt;z-index:251662336" fillcolor="#c0504d [3205]" strokecolor="#f2f2f2 [3041]" strokeweight="3pt">
            <v:shadow on="t" type="perspective" color="#622423 [1605]" opacity=".5" offset="1pt" offset2="-1pt"/>
            <v:textbox style="layout-flow:vertical-ideographic">
              <w:txbxContent>
                <w:p w:rsidR="007E50F3" w:rsidRDefault="007E50F3"/>
              </w:txbxContent>
            </v:textbox>
          </v:shape>
        </w:pict>
      </w:r>
      <w:r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shape id="_x0000_s1031" type="#_x0000_t67" style="position:absolute;left:0;text-align:left;margin-left:230.75pt;margin-top:9.45pt;width:38.8pt;height:55.7pt;z-index:251660288" fillcolor="#c0504d [3205]" strokecolor="#f2f2f2 [3041]" strokeweight="3pt">
            <v:shadow on="t" type="perspective" color="#622423 [1605]" opacity=".5" offset="1pt" offset2="-1pt"/>
            <v:textbox style="layout-flow:vertical-ideographic">
              <w:txbxContent>
                <w:p w:rsidR="007E50F3" w:rsidRDefault="007E50F3"/>
              </w:txbxContent>
            </v:textbox>
          </v:shape>
        </w:pict>
      </w:r>
      <w:r w:rsidRPr="000A7D5D">
        <w:rPr>
          <w:rFonts w:ascii="Times New Roman" w:hAnsi="Times New Roman"/>
          <w:bCs/>
          <w:noProof/>
          <w:color w:val="FF0000"/>
          <w:sz w:val="30"/>
          <w:szCs w:val="30"/>
          <w:lang w:eastAsia="ru-RU"/>
        </w:rPr>
        <w:pict>
          <v:shape id="_x0000_s1030" type="#_x0000_t67" style="position:absolute;left:0;text-align:left;margin-left:120.65pt;margin-top:9.45pt;width:38.8pt;height:55.7pt;z-index:251659264" fillcolor="#c0504d [3205]" strokecolor="#f2f2f2 [3041]" strokeweight="3pt">
            <v:shadow on="t" type="perspective" color="#622423 [1605]" opacity=".5" offset="1pt" offset2="-1pt"/>
            <v:textbox style="layout-flow:vertical-ideographic">
              <w:txbxContent>
                <w:p w:rsidR="007E50F3" w:rsidRDefault="007E50F3"/>
              </w:txbxContent>
            </v:textbox>
          </v:shape>
        </w:pict>
      </w:r>
      <w:r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shape id="_x0000_s1029" type="#_x0000_t67" style="position:absolute;left:0;text-align:left;margin-left:19.05pt;margin-top:9.45pt;width:38.8pt;height:55.7pt;z-index:251658240" fillcolor="#c0504d [3205]" strokecolor="#f2f2f2 [3041]" strokeweight="3pt">
            <v:shadow on="t" type="perspective" color="#622423 [1605]" opacity=".5" offset="1pt" offset2="-1pt"/>
            <v:textbox style="layout-flow:vertical-ideographic">
              <w:txbxContent>
                <w:p w:rsidR="007E50F3" w:rsidRDefault="007E50F3"/>
              </w:txbxContent>
            </v:textbox>
          </v:shape>
        </w:pict>
      </w: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0A7D5D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roundrect id="_x0000_s1038" style="position:absolute;left:0;text-align:left;margin-left:294.45pt;margin-top:4.9pt;width:106.5pt;height:157.8pt;z-index:251666432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7E50F3" w:rsidRPr="000D75F6" w:rsidRDefault="007E50F3" w:rsidP="00C108D5">
                  <w:pPr>
                    <w:suppressLineNumber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0D75F6">
                    <w:rPr>
                      <w:rFonts w:ascii="Times New Roman" w:eastAsia="Times New Roman" w:hAnsi="Times New Roman"/>
                      <w:color w:val="FFFFFF" w:themeColor="background1"/>
                      <w:sz w:val="24"/>
                      <w:szCs w:val="24"/>
                      <w:lang w:eastAsia="ru-RU"/>
                    </w:rPr>
                    <w:t>Штат котельной не укомплектован в соответствии с проектом</w:t>
                  </w:r>
                </w:p>
                <w:p w:rsidR="007E50F3" w:rsidRDefault="007E50F3" w:rsidP="00C108D5"/>
              </w:txbxContent>
            </v:textbox>
          </v:roundrect>
        </w:pict>
      </w:r>
      <w:r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roundrect id="_x0000_s1039" style="position:absolute;left:0;text-align:left;margin-left:404.7pt;margin-top:4.9pt;width:118.35pt;height:157.8pt;z-index:251667456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7E50F3" w:rsidRPr="000D75F6" w:rsidRDefault="007E50F3" w:rsidP="00C108D5">
                  <w:pPr>
                    <w:rPr>
                      <w:color w:val="FFFFFF" w:themeColor="background1"/>
                    </w:rPr>
                  </w:pPr>
                  <w:r w:rsidRPr="000D75F6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Не предоставлена  техническая и эксплуатационная документация по безопасному</w:t>
                  </w:r>
                  <w:r w:rsidRPr="000D75F6">
                    <w:rPr>
                      <w:rFonts w:ascii="Times New Roman" w:hAnsi="Times New Roman" w:cs="Times New Roman"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r w:rsidRPr="000D75F6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обслуживанию котельной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roundrect id="_x0000_s1035" style="position:absolute;left:0;text-align:left;margin-left:-12.3pt;margin-top:4.9pt;width:96.4pt;height:157.8pt;z-index:251663360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7E50F3" w:rsidRPr="00C108D5" w:rsidRDefault="007E50F3" w:rsidP="00C108D5">
                  <w:pPr>
                    <w:suppressLineNumber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75F6">
                    <w:rPr>
                      <w:rFonts w:ascii="Times New Roman" w:hAnsi="Times New Roman"/>
                      <w:bCs/>
                      <w:color w:val="FFFFFF" w:themeColor="background1"/>
                      <w:sz w:val="24"/>
                      <w:szCs w:val="24"/>
                    </w:rPr>
                    <w:t xml:space="preserve">Не </w:t>
                  </w:r>
                  <w:r w:rsidRPr="000D75F6">
                    <w:rPr>
                      <w:rFonts w:ascii="Times New Roman" w:hAnsi="Times New Roman" w:cs="Times New Roman"/>
                      <w:bCs/>
                      <w:color w:val="FFFFFF" w:themeColor="background1"/>
                      <w:sz w:val="24"/>
                      <w:szCs w:val="24"/>
                    </w:rPr>
                    <w:t>проведены планово-предупредительные ремонты</w:t>
                  </w:r>
                  <w:r w:rsidRPr="000D75F6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котлов и вспомогательного оборудования</w:t>
                  </w:r>
                  <w:r w:rsidRPr="00C10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котельной </w:t>
                  </w:r>
                </w:p>
                <w:p w:rsidR="007E50F3" w:rsidRDefault="007E50F3"/>
              </w:txbxContent>
            </v:textbox>
          </v:roundrect>
        </w:pict>
      </w:r>
      <w:r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roundrect id="_x0000_s1036" style="position:absolute;left:0;text-align:left;margin-left:84.1pt;margin-top:4.9pt;width:113.95pt;height:157.8pt;z-index:251664384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7E50F3" w:rsidRPr="000D75F6" w:rsidRDefault="007E50F3" w:rsidP="00C108D5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0D75F6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 xml:space="preserve">Не проведён текущий ремонт системы </w:t>
                  </w:r>
                  <w:proofErr w:type="spellStart"/>
                  <w:r w:rsidRPr="000D75F6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>газопотребления</w:t>
                  </w:r>
                  <w:proofErr w:type="spellEnd"/>
                  <w:r w:rsidRPr="000D75F6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 xml:space="preserve"> и газоснабжения котельной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roundrect id="_x0000_s1037" style="position:absolute;left:0;text-align:left;margin-left:198.05pt;margin-top:4.9pt;width:96.4pt;height:157.8pt;z-index:251665408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7E50F3" w:rsidRPr="000D75F6" w:rsidRDefault="007E50F3" w:rsidP="00C108D5">
                  <w:pPr>
                    <w:suppressLineNumber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0D75F6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Не проведена оценка технического состояния котлов</w:t>
                  </w:r>
                </w:p>
                <w:p w:rsidR="007E50F3" w:rsidRDefault="007E50F3" w:rsidP="00C108D5"/>
              </w:txbxContent>
            </v:textbox>
          </v:roundrect>
        </w:pict>
      </w: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E17611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A817FC">
        <w:rPr>
          <w:rFonts w:ascii="Times New Roman" w:hAnsi="Times New Roman"/>
          <w:bCs/>
          <w:sz w:val="30"/>
          <w:szCs w:val="30"/>
        </w:rPr>
        <w:t xml:space="preserve">не </w:t>
      </w: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EE602B" w:rsidRDefault="000A7D5D" w:rsidP="00EE602B">
      <w:pPr>
        <w:pStyle w:val="1"/>
        <w:spacing w:before="0"/>
        <w:rPr>
          <w:sz w:val="30"/>
          <w:szCs w:val="30"/>
        </w:rPr>
      </w:pPr>
      <w:r w:rsidRPr="000A7D5D">
        <w:rPr>
          <w:sz w:val="30"/>
          <w:szCs w:val="30"/>
        </w:rPr>
        <w:lastRenderedPageBreak/>
        <w:pict>
          <v:shape id="_x0000_i1027" type="#_x0000_t136" style="width:503.35pt;height:94.55pt" fillcolor="#369" stroked="f">
            <v:shadow on="t" color="#b2b2b2" opacity="52429f" offset="3pt"/>
            <v:textpath style="font-family:&quot;Times New Roman&quot;;v-text-kern:t" trim="t" fitpath="t" string="Проведённый анализ&#10; контрольно-надзорных &#10;мероприятий показал"/>
          </v:shape>
        </w:pict>
      </w:r>
    </w:p>
    <w:p w:rsidR="00EE602B" w:rsidRDefault="000A7D5D" w:rsidP="00EE602B">
      <w:pPr>
        <w:pStyle w:val="1"/>
        <w:spacing w:before="0"/>
        <w:rPr>
          <w:sz w:val="30"/>
          <w:szCs w:val="30"/>
        </w:rPr>
      </w:pPr>
      <w:r>
        <w:rPr>
          <w:noProof/>
          <w:snapToGrid/>
          <w:sz w:val="30"/>
          <w:szCs w:val="30"/>
        </w:rPr>
        <w:pict>
          <v:roundrect id="_x0000_s1043" style="position:absolute;left:0;text-align:left;margin-left:125.5pt;margin-top:9.25pt;width:353.1pt;height:95.15pt;z-index:251669504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7E50F3" w:rsidRDefault="007E50F3">
                  <w:r w:rsidRPr="00FA53DB">
                    <w:rPr>
                      <w:rFonts w:ascii="Times New Roman" w:hAnsi="Times New Roman" w:cs="Times New Roman"/>
                      <w:sz w:val="30"/>
                      <w:szCs w:val="30"/>
                    </w:rPr>
                    <w:t>работы по подготовке теплоисточников осуществляются в соответствии с разработанными графиками планово-предупредительных ремонтов основного и вспомогательного оборудования котельных</w:t>
                  </w:r>
                </w:p>
              </w:txbxContent>
            </v:textbox>
          </v:roundrect>
        </w:pict>
      </w:r>
    </w:p>
    <w:p w:rsidR="00EE602B" w:rsidRDefault="000A7D5D" w:rsidP="00EE602B">
      <w:pPr>
        <w:pStyle w:val="1"/>
        <w:spacing w:before="0"/>
        <w:rPr>
          <w:sz w:val="30"/>
          <w:szCs w:val="30"/>
        </w:rPr>
      </w:pPr>
      <w:r>
        <w:rPr>
          <w:noProof/>
          <w:snapToGrid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left:0;text-align:left;margin-left:15.25pt;margin-top:13.9pt;width:85.8pt;height:38.2pt;z-index:251668480" fillcolor="#9bbb59 [3206]" strokecolor="#f2f2f2 [3041]" strokeweight="3pt">
            <v:shadow on="t" type="perspective" color="#4e6128 [1606]" opacity=".5" offset="1pt" offset2="-1pt"/>
            <v:textbox style="layout-flow:vertical-ideographic">
              <w:txbxContent>
                <w:p w:rsidR="007E50F3" w:rsidRDefault="007E50F3"/>
              </w:txbxContent>
            </v:textbox>
          </v:shape>
        </w:pict>
      </w:r>
    </w:p>
    <w:p w:rsidR="00EE602B" w:rsidRDefault="00EE602B" w:rsidP="00EE602B">
      <w:pPr>
        <w:pStyle w:val="1"/>
        <w:spacing w:before="0"/>
        <w:rPr>
          <w:sz w:val="30"/>
          <w:szCs w:val="30"/>
        </w:rPr>
      </w:pPr>
    </w:p>
    <w:p w:rsidR="00EE602B" w:rsidRPr="00FA53DB" w:rsidRDefault="00EE602B" w:rsidP="00EE602B">
      <w:pPr>
        <w:pStyle w:val="1"/>
        <w:spacing w:before="0"/>
        <w:rPr>
          <w:sz w:val="30"/>
          <w:szCs w:val="30"/>
        </w:rPr>
      </w:pPr>
    </w:p>
    <w:p w:rsidR="00EE602B" w:rsidRDefault="00EE602B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E602B" w:rsidRDefault="00EE602B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E602B" w:rsidRDefault="000A7D5D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roundrect id="_x0000_s1045" style="position:absolute;left:0;text-align:left;margin-left:125.5pt;margin-top:13.4pt;width:353.1pt;height:79.5pt;z-index:251671552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7E50F3" w:rsidRDefault="007E50F3" w:rsidP="000D75F6">
                  <w:r w:rsidRPr="00FA53DB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состояние котельного оборудования, тепловых сетей соответствует техническим нормативным правовым актам </w:t>
                  </w:r>
                </w:p>
              </w:txbxContent>
            </v:textbox>
          </v:roundrect>
        </w:pict>
      </w:r>
    </w:p>
    <w:p w:rsidR="00EE602B" w:rsidRDefault="000A7D5D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shape id="_x0000_s1044" type="#_x0000_t13" style="position:absolute;left:0;text-align:left;margin-left:15.25pt;margin-top:12.5pt;width:85.8pt;height:38.2pt;z-index:251670528" fillcolor="#9bbb59 [3206]" strokecolor="#f2f2f2 [3041]" strokeweight="3pt">
            <v:shadow on="t" type="perspective" color="#4e6128 [1606]" opacity=".5" offset="1pt" offset2="-1pt"/>
            <v:textbox style="layout-flow:vertical-ideographic">
              <w:txbxContent>
                <w:p w:rsidR="007E50F3" w:rsidRDefault="007E50F3"/>
              </w:txbxContent>
            </v:textbox>
          </v:shape>
        </w:pict>
      </w:r>
    </w:p>
    <w:p w:rsidR="00EE602B" w:rsidRDefault="00EE602B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E602B" w:rsidRDefault="00EE602B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D75F6" w:rsidRDefault="000D75F6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D75F6" w:rsidRDefault="000D75F6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D75F6" w:rsidRDefault="000A7D5D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roundrect id="_x0000_s1047" style="position:absolute;left:0;text-align:left;margin-left:125.5pt;margin-top:4.5pt;width:353.1pt;height:77.45pt;z-index:25167360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7E50F3" w:rsidRDefault="007E50F3" w:rsidP="000D75F6">
                  <w:r w:rsidRPr="00FA53DB">
                    <w:rPr>
                      <w:rFonts w:ascii="Times New Roman" w:hAnsi="Times New Roman" w:cs="Times New Roman"/>
                      <w:sz w:val="30"/>
                      <w:szCs w:val="30"/>
                    </w:rPr>
                    <w:t>субъектами хозяйствования в установленные сроки проводятся необходимые работы по техническому диагностированию и освидетельствованию котлов</w:t>
                  </w:r>
                </w:p>
              </w:txbxContent>
            </v:textbox>
          </v:roundrect>
        </w:pict>
      </w:r>
    </w:p>
    <w:p w:rsidR="000D75F6" w:rsidRDefault="000A7D5D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shape id="_x0000_s1046" type="#_x0000_t13" style="position:absolute;left:0;text-align:left;margin-left:15.25pt;margin-top:6.75pt;width:85.8pt;height:38.2pt;z-index:251672576" fillcolor="#9bbb59 [3206]" strokecolor="#f2f2f2 [3041]" strokeweight="3pt">
            <v:shadow on="t" type="perspective" color="#4e6128 [1606]" opacity=".5" offset="1pt" offset2="-1pt"/>
            <v:textbox style="layout-flow:vertical-ideographic">
              <w:txbxContent>
                <w:p w:rsidR="007E50F3" w:rsidRDefault="007E50F3"/>
              </w:txbxContent>
            </v:textbox>
          </v:shape>
        </w:pict>
      </w:r>
    </w:p>
    <w:p w:rsidR="000D75F6" w:rsidRDefault="000D75F6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D75F6" w:rsidRDefault="000D75F6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D75F6" w:rsidRDefault="000D75F6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50F3" w:rsidRDefault="007E50F3" w:rsidP="00786F0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E50F3" w:rsidRDefault="007E50F3" w:rsidP="007E50F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территории Гомельской области </w:t>
      </w:r>
      <w:r w:rsidRPr="004A1622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25 субъектов хозяйствования получили 763 заключения о готовности</w:t>
      </w:r>
      <w:r w:rsidRPr="00EC5D7B">
        <w:rPr>
          <w:rFonts w:ascii="Times New Roman" w:hAnsi="Times New Roman" w:cs="Times New Roman"/>
          <w:sz w:val="30"/>
          <w:szCs w:val="30"/>
        </w:rPr>
        <w:t xml:space="preserve"> теплоисточников</w:t>
      </w:r>
      <w:r>
        <w:rPr>
          <w:rFonts w:ascii="Times New Roman" w:hAnsi="Times New Roman" w:cs="Times New Roman"/>
          <w:sz w:val="30"/>
          <w:szCs w:val="30"/>
        </w:rPr>
        <w:t xml:space="preserve"> к отопительному периоду, </w:t>
      </w:r>
      <w:r>
        <w:rPr>
          <w:rFonts w:ascii="Times New Roman" w:hAnsi="Times New Roman"/>
          <w:sz w:val="30"/>
          <w:szCs w:val="30"/>
        </w:rPr>
        <w:t xml:space="preserve">в их числе </w:t>
      </w:r>
      <w:r w:rsidRPr="00021E8A">
        <w:rPr>
          <w:rFonts w:ascii="Times New Roman" w:hAnsi="Times New Roman"/>
          <w:sz w:val="30"/>
          <w:szCs w:val="30"/>
        </w:rPr>
        <w:t xml:space="preserve">отапливают </w:t>
      </w:r>
      <w:r w:rsidRPr="00707A42">
        <w:rPr>
          <w:rFonts w:ascii="Times New Roman" w:hAnsi="Times New Roman" w:cs="Times New Roman"/>
          <w:sz w:val="30"/>
          <w:szCs w:val="30"/>
        </w:rPr>
        <w:t>жилищный фонд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707A42">
        <w:rPr>
          <w:rFonts w:ascii="Times New Roman" w:hAnsi="Times New Roman" w:cs="Times New Roman"/>
          <w:sz w:val="30"/>
          <w:szCs w:val="30"/>
        </w:rPr>
        <w:t xml:space="preserve"> объекты социального и культурно-бытового назначения</w:t>
      </w:r>
      <w:r>
        <w:rPr>
          <w:rFonts w:ascii="Times New Roman" w:hAnsi="Times New Roman"/>
          <w:sz w:val="30"/>
          <w:szCs w:val="30"/>
        </w:rPr>
        <w:t>.</w:t>
      </w:r>
    </w:p>
    <w:p w:rsidR="007E50F3" w:rsidRDefault="007E50F3" w:rsidP="007E50F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состоянию на 1</w:t>
      </w:r>
      <w:r w:rsidR="005B488C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 сентября 2025 года не получено заключение по одному </w:t>
      </w:r>
      <w:proofErr w:type="spellStart"/>
      <w:r>
        <w:rPr>
          <w:rFonts w:ascii="Times New Roman" w:hAnsi="Times New Roman"/>
          <w:sz w:val="30"/>
          <w:szCs w:val="30"/>
        </w:rPr>
        <w:t>теплоисточнику</w:t>
      </w:r>
      <w:proofErr w:type="spellEnd"/>
      <w:r>
        <w:rPr>
          <w:rFonts w:ascii="Times New Roman" w:hAnsi="Times New Roman"/>
          <w:sz w:val="30"/>
          <w:szCs w:val="30"/>
        </w:rPr>
        <w:t xml:space="preserve"> в связи с проведением значительного объема ремонтных работ по восстановлению работоспособности оборудования. </w:t>
      </w:r>
    </w:p>
    <w:p w:rsidR="007E50F3" w:rsidRDefault="007E50F3" w:rsidP="007E50F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связи с этим, Гомельское областное управление Госпромнадзора рекомендует проводить планирование </w:t>
      </w:r>
      <w:r>
        <w:rPr>
          <w:rFonts w:ascii="Times New Roman" w:hAnsi="Times New Roman" w:cs="Times New Roman"/>
          <w:sz w:val="30"/>
          <w:szCs w:val="30"/>
        </w:rPr>
        <w:t>и разработку мероприятий на следующий отопительный период</w:t>
      </w:r>
      <w:r>
        <w:rPr>
          <w:rFonts w:ascii="Times New Roman" w:hAnsi="Times New Roman"/>
          <w:sz w:val="30"/>
          <w:szCs w:val="30"/>
        </w:rPr>
        <w:t xml:space="preserve">  - заблаговременно.   </w:t>
      </w:r>
    </w:p>
    <w:p w:rsidR="007E50F3" w:rsidRPr="00786F06" w:rsidRDefault="007E50F3" w:rsidP="007E50F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Для этого необходимо</w:t>
      </w:r>
      <w:r w:rsidRPr="00786F06">
        <w:rPr>
          <w:rFonts w:ascii="Times New Roman" w:hAnsi="Times New Roman"/>
          <w:sz w:val="30"/>
          <w:szCs w:val="30"/>
        </w:rPr>
        <w:t>:</w:t>
      </w:r>
    </w:p>
    <w:p w:rsidR="00786F06" w:rsidRDefault="007E50F3" w:rsidP="00786F06">
      <w:pPr>
        <w:spacing w:after="0"/>
        <w:ind w:right="-3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0F3">
        <w:rPr>
          <w:rFonts w:ascii="Times New Roman" w:hAnsi="Times New Roman" w:cs="Times New Roman"/>
          <w:sz w:val="30"/>
          <w:szCs w:val="30"/>
        </w:rPr>
        <w:t>провести анализ документации по результатам проведенных технических диагностик (установления возможности эксплуатации сверх назначенного срока службы) паровых и водогрейных котлов, по результатам которых продлен срок службы оборудования не более двух лет;</w:t>
      </w:r>
    </w:p>
    <w:p w:rsidR="007A0B5F" w:rsidRPr="007E50F3" w:rsidRDefault="007E50F3" w:rsidP="00786F06">
      <w:pPr>
        <w:ind w:right="-3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0F3">
        <w:rPr>
          <w:rFonts w:ascii="Times New Roman" w:hAnsi="Times New Roman" w:cs="Times New Roman"/>
          <w:sz w:val="30"/>
          <w:szCs w:val="30"/>
        </w:rPr>
        <w:t xml:space="preserve">по результатам проведенного анализа предусмотреть разработку и проведение в последующие </w:t>
      </w:r>
      <w:proofErr w:type="spellStart"/>
      <w:r w:rsidRPr="007E50F3">
        <w:rPr>
          <w:rFonts w:ascii="Times New Roman" w:hAnsi="Times New Roman" w:cs="Times New Roman"/>
          <w:sz w:val="30"/>
          <w:szCs w:val="30"/>
        </w:rPr>
        <w:t>межотопительные</w:t>
      </w:r>
      <w:proofErr w:type="spellEnd"/>
      <w:r w:rsidRPr="007E50F3">
        <w:rPr>
          <w:rFonts w:ascii="Times New Roman" w:hAnsi="Times New Roman" w:cs="Times New Roman"/>
          <w:sz w:val="30"/>
          <w:szCs w:val="30"/>
        </w:rPr>
        <w:t xml:space="preserve"> периоды мероприятий по капитальному ремонту или замене водогрейных и паровых котлов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06C0F" w:rsidRPr="00DD56F8" w:rsidRDefault="00806C0F" w:rsidP="00FA53DB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sectPr w:rsidR="00806C0F" w:rsidRPr="00DD56F8" w:rsidSect="00EE602B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887" w:rsidRDefault="00305887" w:rsidP="00357AD5">
      <w:pPr>
        <w:spacing w:after="0" w:line="240" w:lineRule="auto"/>
      </w:pPr>
      <w:r>
        <w:separator/>
      </w:r>
    </w:p>
  </w:endnote>
  <w:endnote w:type="continuationSeparator" w:id="0">
    <w:p w:rsidR="00305887" w:rsidRDefault="00305887" w:rsidP="0035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887" w:rsidRDefault="00305887" w:rsidP="00357AD5">
      <w:pPr>
        <w:spacing w:after="0" w:line="240" w:lineRule="auto"/>
      </w:pPr>
      <w:r>
        <w:separator/>
      </w:r>
    </w:p>
  </w:footnote>
  <w:footnote w:type="continuationSeparator" w:id="0">
    <w:p w:rsidR="00305887" w:rsidRDefault="00305887" w:rsidP="00357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6D4A"/>
    <w:multiLevelType w:val="hybridMultilevel"/>
    <w:tmpl w:val="177C4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D20BB9"/>
    <w:multiLevelType w:val="hybridMultilevel"/>
    <w:tmpl w:val="E49E08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ABD7EE9"/>
    <w:multiLevelType w:val="hybridMultilevel"/>
    <w:tmpl w:val="0DD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362F9"/>
    <w:multiLevelType w:val="hybridMultilevel"/>
    <w:tmpl w:val="92703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5C0377"/>
    <w:multiLevelType w:val="multilevel"/>
    <w:tmpl w:val="422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1219E5"/>
    <w:multiLevelType w:val="hybridMultilevel"/>
    <w:tmpl w:val="131685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4692D8E"/>
    <w:multiLevelType w:val="hybridMultilevel"/>
    <w:tmpl w:val="A050C8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8AF1F28"/>
    <w:multiLevelType w:val="hybridMultilevel"/>
    <w:tmpl w:val="0B4012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ABB336B"/>
    <w:multiLevelType w:val="hybridMultilevel"/>
    <w:tmpl w:val="C0144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08A"/>
    <w:rsid w:val="00024577"/>
    <w:rsid w:val="0002764B"/>
    <w:rsid w:val="000428FB"/>
    <w:rsid w:val="00047427"/>
    <w:rsid w:val="00077B30"/>
    <w:rsid w:val="000807AF"/>
    <w:rsid w:val="00085062"/>
    <w:rsid w:val="000A7D5D"/>
    <w:rsid w:val="000B35BC"/>
    <w:rsid w:val="000B73DC"/>
    <w:rsid w:val="000C52DC"/>
    <w:rsid w:val="000D4D20"/>
    <w:rsid w:val="000D75F6"/>
    <w:rsid w:val="00105599"/>
    <w:rsid w:val="00115913"/>
    <w:rsid w:val="00117DB1"/>
    <w:rsid w:val="00123538"/>
    <w:rsid w:val="00162A6B"/>
    <w:rsid w:val="001A7CEF"/>
    <w:rsid w:val="001D0B01"/>
    <w:rsid w:val="001F2FEB"/>
    <w:rsid w:val="00204909"/>
    <w:rsid w:val="0020689F"/>
    <w:rsid w:val="002070A2"/>
    <w:rsid w:val="002103A2"/>
    <w:rsid w:val="00222FE8"/>
    <w:rsid w:val="00251F47"/>
    <w:rsid w:val="00270853"/>
    <w:rsid w:val="002740A5"/>
    <w:rsid w:val="00291E0E"/>
    <w:rsid w:val="00297ABC"/>
    <w:rsid w:val="002A4D7E"/>
    <w:rsid w:val="002A7CEF"/>
    <w:rsid w:val="002D6413"/>
    <w:rsid w:val="002F4EE6"/>
    <w:rsid w:val="002F7829"/>
    <w:rsid w:val="002F7F0C"/>
    <w:rsid w:val="00305887"/>
    <w:rsid w:val="0034539D"/>
    <w:rsid w:val="00347F1F"/>
    <w:rsid w:val="00357AD5"/>
    <w:rsid w:val="00397152"/>
    <w:rsid w:val="003A5B39"/>
    <w:rsid w:val="003F0D09"/>
    <w:rsid w:val="003F78E8"/>
    <w:rsid w:val="004111E2"/>
    <w:rsid w:val="00415C1C"/>
    <w:rsid w:val="00456158"/>
    <w:rsid w:val="00463C42"/>
    <w:rsid w:val="00466172"/>
    <w:rsid w:val="004A1622"/>
    <w:rsid w:val="004A4396"/>
    <w:rsid w:val="004A790B"/>
    <w:rsid w:val="004C683A"/>
    <w:rsid w:val="004D18B2"/>
    <w:rsid w:val="004D2B64"/>
    <w:rsid w:val="004D7520"/>
    <w:rsid w:val="004E5036"/>
    <w:rsid w:val="00500114"/>
    <w:rsid w:val="00505325"/>
    <w:rsid w:val="005318E6"/>
    <w:rsid w:val="00534A1E"/>
    <w:rsid w:val="005354B6"/>
    <w:rsid w:val="00540C4D"/>
    <w:rsid w:val="0054409F"/>
    <w:rsid w:val="00546ADB"/>
    <w:rsid w:val="00550D3A"/>
    <w:rsid w:val="005603C0"/>
    <w:rsid w:val="00562EBE"/>
    <w:rsid w:val="00581BB4"/>
    <w:rsid w:val="00581C5B"/>
    <w:rsid w:val="005821B4"/>
    <w:rsid w:val="005853E4"/>
    <w:rsid w:val="00591BC2"/>
    <w:rsid w:val="00596C83"/>
    <w:rsid w:val="005A29C2"/>
    <w:rsid w:val="005B07A6"/>
    <w:rsid w:val="005B488C"/>
    <w:rsid w:val="005C1990"/>
    <w:rsid w:val="005D169A"/>
    <w:rsid w:val="005D25CA"/>
    <w:rsid w:val="005D2E70"/>
    <w:rsid w:val="005F50EE"/>
    <w:rsid w:val="0062181C"/>
    <w:rsid w:val="00631D09"/>
    <w:rsid w:val="00633B7B"/>
    <w:rsid w:val="006343EB"/>
    <w:rsid w:val="00663793"/>
    <w:rsid w:val="00663D55"/>
    <w:rsid w:val="00682282"/>
    <w:rsid w:val="00682EE1"/>
    <w:rsid w:val="00691CA5"/>
    <w:rsid w:val="00697BEC"/>
    <w:rsid w:val="006A1054"/>
    <w:rsid w:val="006A7FB1"/>
    <w:rsid w:val="006B5184"/>
    <w:rsid w:val="006B68C3"/>
    <w:rsid w:val="006C0158"/>
    <w:rsid w:val="006D32E0"/>
    <w:rsid w:val="006E4433"/>
    <w:rsid w:val="006F43CB"/>
    <w:rsid w:val="00700419"/>
    <w:rsid w:val="00703A8E"/>
    <w:rsid w:val="00707A42"/>
    <w:rsid w:val="00711656"/>
    <w:rsid w:val="0072260B"/>
    <w:rsid w:val="00726001"/>
    <w:rsid w:val="007445E6"/>
    <w:rsid w:val="00746269"/>
    <w:rsid w:val="00763651"/>
    <w:rsid w:val="00765C47"/>
    <w:rsid w:val="007668B5"/>
    <w:rsid w:val="00786F06"/>
    <w:rsid w:val="00792620"/>
    <w:rsid w:val="00795C6A"/>
    <w:rsid w:val="00796703"/>
    <w:rsid w:val="007A0B5F"/>
    <w:rsid w:val="007A2CD6"/>
    <w:rsid w:val="007A4953"/>
    <w:rsid w:val="007A6579"/>
    <w:rsid w:val="007B7127"/>
    <w:rsid w:val="007C7BB4"/>
    <w:rsid w:val="007E50F3"/>
    <w:rsid w:val="007F1319"/>
    <w:rsid w:val="007F18F4"/>
    <w:rsid w:val="007F6CC7"/>
    <w:rsid w:val="00804E90"/>
    <w:rsid w:val="00806C0F"/>
    <w:rsid w:val="00824A91"/>
    <w:rsid w:val="00845569"/>
    <w:rsid w:val="00865373"/>
    <w:rsid w:val="00876BD7"/>
    <w:rsid w:val="00877F6F"/>
    <w:rsid w:val="00890F88"/>
    <w:rsid w:val="008A2D44"/>
    <w:rsid w:val="008A7D16"/>
    <w:rsid w:val="008B144A"/>
    <w:rsid w:val="008C3BD0"/>
    <w:rsid w:val="008C4237"/>
    <w:rsid w:val="008C6CC6"/>
    <w:rsid w:val="008F279A"/>
    <w:rsid w:val="00916B8A"/>
    <w:rsid w:val="009201FD"/>
    <w:rsid w:val="009234B1"/>
    <w:rsid w:val="00923E86"/>
    <w:rsid w:val="00943E80"/>
    <w:rsid w:val="00945C26"/>
    <w:rsid w:val="00945E39"/>
    <w:rsid w:val="00962354"/>
    <w:rsid w:val="0098728E"/>
    <w:rsid w:val="009A29FF"/>
    <w:rsid w:val="009A4FCE"/>
    <w:rsid w:val="009C78F1"/>
    <w:rsid w:val="009E2444"/>
    <w:rsid w:val="009F0C7D"/>
    <w:rsid w:val="00A031A0"/>
    <w:rsid w:val="00A145A5"/>
    <w:rsid w:val="00A261DA"/>
    <w:rsid w:val="00A36181"/>
    <w:rsid w:val="00A4017B"/>
    <w:rsid w:val="00A43054"/>
    <w:rsid w:val="00A64B90"/>
    <w:rsid w:val="00AA04CB"/>
    <w:rsid w:val="00AC2E59"/>
    <w:rsid w:val="00AD45DB"/>
    <w:rsid w:val="00AD70CB"/>
    <w:rsid w:val="00AE55DC"/>
    <w:rsid w:val="00AF0B92"/>
    <w:rsid w:val="00B01F68"/>
    <w:rsid w:val="00B11019"/>
    <w:rsid w:val="00B3460B"/>
    <w:rsid w:val="00B44A13"/>
    <w:rsid w:val="00B567FC"/>
    <w:rsid w:val="00B56F77"/>
    <w:rsid w:val="00BA2A2C"/>
    <w:rsid w:val="00BA5726"/>
    <w:rsid w:val="00BE4F5B"/>
    <w:rsid w:val="00C04451"/>
    <w:rsid w:val="00C04C80"/>
    <w:rsid w:val="00C108D5"/>
    <w:rsid w:val="00C3018C"/>
    <w:rsid w:val="00C33638"/>
    <w:rsid w:val="00C372F3"/>
    <w:rsid w:val="00C548F7"/>
    <w:rsid w:val="00C6462A"/>
    <w:rsid w:val="00C828EC"/>
    <w:rsid w:val="00C86F5F"/>
    <w:rsid w:val="00C92B23"/>
    <w:rsid w:val="00CA3EB9"/>
    <w:rsid w:val="00CB542E"/>
    <w:rsid w:val="00CD59AC"/>
    <w:rsid w:val="00CF2FB0"/>
    <w:rsid w:val="00D10954"/>
    <w:rsid w:val="00D151B7"/>
    <w:rsid w:val="00D61E79"/>
    <w:rsid w:val="00D80AEC"/>
    <w:rsid w:val="00D84198"/>
    <w:rsid w:val="00D86196"/>
    <w:rsid w:val="00D90121"/>
    <w:rsid w:val="00D97866"/>
    <w:rsid w:val="00DA7AE8"/>
    <w:rsid w:val="00DD2899"/>
    <w:rsid w:val="00DD56F8"/>
    <w:rsid w:val="00DE4D35"/>
    <w:rsid w:val="00E021E2"/>
    <w:rsid w:val="00E075A1"/>
    <w:rsid w:val="00E17611"/>
    <w:rsid w:val="00E244B1"/>
    <w:rsid w:val="00E345D3"/>
    <w:rsid w:val="00E36FC3"/>
    <w:rsid w:val="00E4084A"/>
    <w:rsid w:val="00E675A8"/>
    <w:rsid w:val="00E821B2"/>
    <w:rsid w:val="00E8386B"/>
    <w:rsid w:val="00EA0A53"/>
    <w:rsid w:val="00EA47F8"/>
    <w:rsid w:val="00EB12BB"/>
    <w:rsid w:val="00EB2F52"/>
    <w:rsid w:val="00EB52CE"/>
    <w:rsid w:val="00EB5F4D"/>
    <w:rsid w:val="00EB7EDB"/>
    <w:rsid w:val="00EC1FDB"/>
    <w:rsid w:val="00EC363C"/>
    <w:rsid w:val="00EC408A"/>
    <w:rsid w:val="00EC4BD8"/>
    <w:rsid w:val="00EC5D7B"/>
    <w:rsid w:val="00EE602B"/>
    <w:rsid w:val="00F115F4"/>
    <w:rsid w:val="00F144A8"/>
    <w:rsid w:val="00F31F85"/>
    <w:rsid w:val="00F35824"/>
    <w:rsid w:val="00F363D9"/>
    <w:rsid w:val="00F52DF5"/>
    <w:rsid w:val="00F630A7"/>
    <w:rsid w:val="00F821A4"/>
    <w:rsid w:val="00FA53DB"/>
    <w:rsid w:val="00FC66AC"/>
    <w:rsid w:val="00FC747E"/>
    <w:rsid w:val="00FE367E"/>
    <w:rsid w:val="00FE6D92"/>
    <w:rsid w:val="00FF2957"/>
    <w:rsid w:val="00FF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style="layout-flow:vertical-ideographi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5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12353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5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7AD5"/>
  </w:style>
  <w:style w:type="paragraph" w:styleId="a9">
    <w:name w:val="footer"/>
    <w:basedOn w:val="a"/>
    <w:link w:val="aa"/>
    <w:uiPriority w:val="99"/>
    <w:semiHidden/>
    <w:unhideWhenUsed/>
    <w:rsid w:val="0035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7AD5"/>
  </w:style>
  <w:style w:type="paragraph" w:customStyle="1" w:styleId="ListParagraph1">
    <w:name w:val="List Paragraph1"/>
    <w:basedOn w:val="a"/>
    <w:uiPriority w:val="99"/>
    <w:rsid w:val="005A29C2"/>
    <w:pPr>
      <w:ind w:left="720"/>
      <w:contextualSpacing/>
    </w:pPr>
    <w:rPr>
      <w:rFonts w:ascii="Calibri" w:eastAsia="Times New Roman" w:hAnsi="Calibri" w:cs="Times New Roman"/>
    </w:rPr>
  </w:style>
  <w:style w:type="character" w:styleId="ab">
    <w:name w:val="Hyperlink"/>
    <w:basedOn w:val="a0"/>
    <w:uiPriority w:val="99"/>
    <w:semiHidden/>
    <w:unhideWhenUsed/>
    <w:rsid w:val="005D2E70"/>
    <w:rPr>
      <w:color w:val="0000FF"/>
      <w:u w:val="single"/>
    </w:rPr>
  </w:style>
  <w:style w:type="paragraph" w:customStyle="1" w:styleId="1">
    <w:name w:val="Обычный1"/>
    <w:rsid w:val="00FA53DB"/>
    <w:pPr>
      <w:widowControl w:val="0"/>
      <w:spacing w:before="1280"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864C0-E1F4-4C28-ACA3-A2AEC832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tolkachev</dc:creator>
  <cp:lastModifiedBy>kovalev</cp:lastModifiedBy>
  <cp:revision>3</cp:revision>
  <cp:lastPrinted>2025-09-01T07:44:00Z</cp:lastPrinted>
  <dcterms:created xsi:type="dcterms:W3CDTF">2025-09-01T07:48:00Z</dcterms:created>
  <dcterms:modified xsi:type="dcterms:W3CDTF">2025-09-16T11:28:00Z</dcterms:modified>
</cp:coreProperties>
</file>